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附件</w:t>
      </w:r>
      <w:r>
        <w:rPr>
          <w:rFonts w:hint="eastAsia" w:ascii="仿宋" w:hAnsi="仿宋" w:eastAsia="仿宋" w:cs="仿宋"/>
          <w:b w:val="0"/>
          <w:bCs w:val="0"/>
          <w:sz w:val="28"/>
          <w:szCs w:val="28"/>
          <w:lang w:val="en-US" w:eastAsia="zh-CN"/>
        </w:rPr>
        <w:t>1</w:t>
      </w:r>
    </w:p>
    <w:p>
      <w:pPr>
        <w:jc w:val="center"/>
        <w:rPr>
          <w:rFonts w:hint="eastAsia" w:ascii="宋体" w:hAnsi="宋体" w:eastAsia="宋体" w:cs="宋体"/>
          <w:b/>
          <w:bCs/>
          <w:sz w:val="36"/>
          <w:szCs w:val="36"/>
        </w:rPr>
      </w:pPr>
      <w:r>
        <w:rPr>
          <w:rFonts w:hint="eastAsia" w:ascii="宋体" w:hAnsi="宋体" w:eastAsia="宋体" w:cs="宋体"/>
          <w:b w:val="0"/>
          <w:bCs w:val="0"/>
          <w:sz w:val="36"/>
          <w:szCs w:val="36"/>
        </w:rPr>
        <w:t>建筑工程现场监理人员配置最低标准</w:t>
      </w:r>
    </w:p>
    <w:tbl>
      <w:tblPr>
        <w:tblW w:w="13669" w:type="dxa"/>
        <w:jc w:val="center"/>
        <w:tblInd w:w="0" w:type="dxa"/>
        <w:shd w:val="clear"/>
        <w:tblLayout w:type="fixed"/>
        <w:tblCellMar>
          <w:top w:w="0" w:type="dxa"/>
          <w:left w:w="0" w:type="dxa"/>
          <w:bottom w:w="0" w:type="dxa"/>
          <w:right w:w="0" w:type="dxa"/>
        </w:tblCellMar>
      </w:tblPr>
      <w:tblGrid>
        <w:gridCol w:w="1228"/>
        <w:gridCol w:w="2361"/>
        <w:gridCol w:w="1815"/>
        <w:gridCol w:w="1755"/>
        <w:gridCol w:w="1860"/>
        <w:gridCol w:w="2805"/>
        <w:gridCol w:w="1845"/>
      </w:tblGrid>
      <w:tr>
        <w:tblPrEx>
          <w:shd w:val="clear"/>
          <w:tblLayout w:type="fixed"/>
          <w:tblCellMar>
            <w:top w:w="0" w:type="dxa"/>
            <w:left w:w="0" w:type="dxa"/>
            <w:bottom w:w="0" w:type="dxa"/>
            <w:right w:w="0" w:type="dxa"/>
          </w:tblCellMar>
        </w:tblPrEx>
        <w:trPr>
          <w:trHeight w:val="523" w:hRule="atLeast"/>
          <w:jc w:val="center"/>
        </w:trPr>
        <w:tc>
          <w:tcPr>
            <w:tcW w:w="122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t>工程类别</w:t>
            </w:r>
          </w:p>
        </w:tc>
        <w:tc>
          <w:tcPr>
            <w:tcW w:w="236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t>工程规模（M代表建筑面积，单位：m2)</w:t>
            </w:r>
          </w:p>
        </w:tc>
        <w:tc>
          <w:tcPr>
            <w:tcW w:w="18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t>总监理工程师</w:t>
            </w:r>
          </w:p>
        </w:tc>
        <w:tc>
          <w:tcPr>
            <w:tcW w:w="17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t>主导专业监理工程师</w:t>
            </w:r>
          </w:p>
        </w:tc>
        <w:tc>
          <w:tcPr>
            <w:tcW w:w="18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t>配套专业监理工程师</w:t>
            </w:r>
          </w:p>
        </w:tc>
        <w:tc>
          <w:tcPr>
            <w:tcW w:w="28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t>监理员</w:t>
            </w: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t>（含配套专业监理员）</w:t>
            </w:r>
          </w:p>
        </w:tc>
        <w:tc>
          <w:tcPr>
            <w:tcW w:w="18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color w:val="000000" w:themeColor="text1"/>
                <w:kern w:val="0"/>
                <w:sz w:val="24"/>
                <w:szCs w:val="24"/>
                <w:u w:val="none"/>
                <w:lang w:val="en-US" w:eastAsia="zh-CN" w:bidi="ar"/>
                <w14:textFill>
                  <w14:solidFill>
                    <w14:schemeClr w14:val="tx1"/>
                  </w14:solidFill>
                </w14:textFill>
              </w:rPr>
              <w:t>合计</w:t>
            </w:r>
          </w:p>
        </w:tc>
      </w:tr>
      <w:tr>
        <w:tblPrEx>
          <w:tblLayout w:type="fixed"/>
          <w:tblCellMar>
            <w:top w:w="0" w:type="dxa"/>
            <w:left w:w="0" w:type="dxa"/>
            <w:bottom w:w="0" w:type="dxa"/>
            <w:right w:w="0" w:type="dxa"/>
          </w:tblCellMar>
        </w:tblPrEx>
        <w:trPr>
          <w:trHeight w:val="312" w:hRule="atLeast"/>
          <w:jc w:val="center"/>
        </w:trPr>
        <w:tc>
          <w:tcPr>
            <w:tcW w:w="12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8"/>
                <w:szCs w:val="28"/>
                <w:u w:val="none"/>
                <w14:textFill>
                  <w14:solidFill>
                    <w14:schemeClr w14:val="tx1"/>
                  </w14:solidFill>
                </w14:textFill>
              </w:rPr>
            </w:pPr>
          </w:p>
        </w:tc>
        <w:tc>
          <w:tcPr>
            <w:tcW w:w="236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8"/>
                <w:szCs w:val="28"/>
                <w:u w:val="none"/>
                <w14:textFill>
                  <w14:solidFill>
                    <w14:schemeClr w14:val="tx1"/>
                  </w14:solidFill>
                </w14:textFill>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8"/>
                <w:szCs w:val="28"/>
                <w:u w:val="none"/>
                <w14:textFill>
                  <w14:solidFill>
                    <w14:schemeClr w14:val="tx1"/>
                  </w14:solidFill>
                </w14:textFill>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8"/>
                <w:szCs w:val="28"/>
                <w:u w:val="none"/>
                <w14:textFill>
                  <w14:solidFill>
                    <w14:schemeClr w14:val="tx1"/>
                  </w14:solidFill>
                </w14:textFill>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8"/>
                <w:szCs w:val="28"/>
                <w:u w:val="none"/>
                <w14:textFill>
                  <w14:solidFill>
                    <w14:schemeClr w14:val="tx1"/>
                  </w14:solidFill>
                </w14:textFill>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8"/>
                <w:szCs w:val="28"/>
                <w:u w:val="none"/>
                <w14:textFill>
                  <w14:solidFill>
                    <w14:schemeClr w14:val="tx1"/>
                  </w14:solidFill>
                </w14:textFill>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8"/>
                <w:szCs w:val="28"/>
                <w:u w:val="none"/>
                <w14:textFill>
                  <w14:solidFill>
                    <w14:schemeClr w14:val="tx1"/>
                  </w14:solidFill>
                </w14:textFill>
              </w:rPr>
            </w:pPr>
          </w:p>
        </w:tc>
      </w:tr>
      <w:tr>
        <w:tblPrEx>
          <w:tblLayout w:type="fixed"/>
          <w:tblCellMar>
            <w:top w:w="0" w:type="dxa"/>
            <w:left w:w="0" w:type="dxa"/>
            <w:bottom w:w="0" w:type="dxa"/>
            <w:right w:w="0" w:type="dxa"/>
          </w:tblCellMar>
        </w:tblPrEx>
        <w:trPr>
          <w:trHeight w:val="438" w:hRule="atLeast"/>
          <w:jc w:val="center"/>
        </w:trPr>
        <w:tc>
          <w:tcPr>
            <w:tcW w:w="122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公共建筑工程</w:t>
            </w: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M＜10000</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7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4</w:t>
            </w:r>
          </w:p>
        </w:tc>
      </w:tr>
      <w:tr>
        <w:tblPrEx>
          <w:tblLayout w:type="fixed"/>
          <w:tblCellMar>
            <w:top w:w="0" w:type="dxa"/>
            <w:left w:w="0" w:type="dxa"/>
            <w:bottom w:w="0" w:type="dxa"/>
            <w:right w:w="0" w:type="dxa"/>
          </w:tblCellMar>
        </w:tblPrEx>
        <w:trPr>
          <w:trHeight w:val="468" w:hRule="atLeast"/>
          <w:jc w:val="center"/>
        </w:trPr>
        <w:tc>
          <w:tcPr>
            <w:tcW w:w="12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10000≤M＜30000</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7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5</w:t>
            </w:r>
          </w:p>
        </w:tc>
      </w:tr>
      <w:tr>
        <w:tblPrEx>
          <w:tblLayout w:type="fixed"/>
          <w:tblCellMar>
            <w:top w:w="0" w:type="dxa"/>
            <w:left w:w="0" w:type="dxa"/>
            <w:bottom w:w="0" w:type="dxa"/>
            <w:right w:w="0" w:type="dxa"/>
          </w:tblCellMar>
        </w:tblPrEx>
        <w:trPr>
          <w:trHeight w:val="423" w:hRule="atLeast"/>
          <w:jc w:val="center"/>
        </w:trPr>
        <w:tc>
          <w:tcPr>
            <w:tcW w:w="12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30000≤M＜60000</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7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3</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6</w:t>
            </w:r>
          </w:p>
        </w:tc>
      </w:tr>
      <w:tr>
        <w:tblPrEx>
          <w:tblLayout w:type="fixed"/>
          <w:tblCellMar>
            <w:top w:w="0" w:type="dxa"/>
            <w:left w:w="0" w:type="dxa"/>
            <w:bottom w:w="0" w:type="dxa"/>
            <w:right w:w="0" w:type="dxa"/>
          </w:tblCellMar>
        </w:tblPrEx>
        <w:trPr>
          <w:trHeight w:val="453" w:hRule="atLeast"/>
          <w:jc w:val="center"/>
        </w:trPr>
        <w:tc>
          <w:tcPr>
            <w:tcW w:w="12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M≥60000</w:t>
            </w:r>
          </w:p>
        </w:tc>
        <w:tc>
          <w:tcPr>
            <w:tcW w:w="10080"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以60000m</w:t>
            </w:r>
            <w:r>
              <w:rPr>
                <w:rStyle w:val="6"/>
                <w:rFonts w:hint="eastAsia" w:ascii="仿宋" w:hAnsi="仿宋" w:eastAsia="仿宋" w:cs="仿宋"/>
                <w:color w:val="000000" w:themeColor="text1"/>
                <w:bdr w:val="none" w:color="auto" w:sz="0" w:space="0"/>
                <w:lang w:val="en-US" w:eastAsia="zh-CN" w:bidi="ar"/>
                <w14:textFill>
                  <w14:solidFill>
                    <w14:schemeClr w14:val="tx1"/>
                  </w14:solidFill>
                </w14:textFill>
              </w:rPr>
              <w:t>2</w:t>
            </w:r>
            <w:r>
              <w:rPr>
                <w:rStyle w:val="7"/>
                <w:rFonts w:hint="eastAsia" w:ascii="仿宋" w:hAnsi="仿宋" w:eastAsia="仿宋" w:cs="仿宋"/>
                <w:color w:val="000000" w:themeColor="text1"/>
                <w:bdr w:val="none" w:color="auto" w:sz="0" w:space="0"/>
                <w:lang w:val="en-US" w:eastAsia="zh-CN" w:bidi="ar"/>
                <w14:textFill>
                  <w14:solidFill>
                    <w14:schemeClr w14:val="tx1"/>
                  </w14:solidFill>
                </w14:textFill>
              </w:rPr>
              <w:t>为基数，建筑面积每增加20000m</w:t>
            </w:r>
            <w:r>
              <w:rPr>
                <w:rStyle w:val="6"/>
                <w:rFonts w:hint="eastAsia" w:ascii="仿宋" w:hAnsi="仿宋" w:eastAsia="仿宋" w:cs="仿宋"/>
                <w:color w:val="000000" w:themeColor="text1"/>
                <w:bdr w:val="none" w:color="auto" w:sz="0" w:space="0"/>
                <w:lang w:val="en-US" w:eastAsia="zh-CN" w:bidi="ar"/>
                <w14:textFill>
                  <w14:solidFill>
                    <w14:schemeClr w14:val="tx1"/>
                  </w14:solidFill>
                </w14:textFill>
              </w:rPr>
              <w:t>2</w:t>
            </w:r>
            <w:r>
              <w:rPr>
                <w:rStyle w:val="7"/>
                <w:rFonts w:hint="eastAsia" w:ascii="仿宋" w:hAnsi="仿宋" w:eastAsia="仿宋" w:cs="仿宋"/>
                <w:color w:val="000000" w:themeColor="text1"/>
                <w:bdr w:val="none" w:color="auto" w:sz="0" w:space="0"/>
                <w:lang w:val="en-US" w:eastAsia="zh-CN" w:bidi="ar"/>
                <w14:textFill>
                  <w14:solidFill>
                    <w14:schemeClr w14:val="tx1"/>
                  </w14:solidFill>
                </w14:textFill>
              </w:rPr>
              <w:t>，监理人员增加1人。</w:t>
            </w:r>
          </w:p>
        </w:tc>
      </w:tr>
      <w:tr>
        <w:tblPrEx>
          <w:tblLayout w:type="fixed"/>
          <w:tblCellMar>
            <w:top w:w="0" w:type="dxa"/>
            <w:left w:w="0" w:type="dxa"/>
            <w:bottom w:w="0" w:type="dxa"/>
            <w:right w:w="0" w:type="dxa"/>
          </w:tblCellMar>
        </w:tblPrEx>
        <w:trPr>
          <w:trHeight w:val="453" w:hRule="atLeast"/>
          <w:jc w:val="center"/>
        </w:trPr>
        <w:tc>
          <w:tcPr>
            <w:tcW w:w="122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工业厂房工程</w:t>
            </w: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M＜20000</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7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4</w:t>
            </w:r>
          </w:p>
        </w:tc>
      </w:tr>
      <w:tr>
        <w:tblPrEx>
          <w:tblLayout w:type="fixed"/>
          <w:tblCellMar>
            <w:top w:w="0" w:type="dxa"/>
            <w:left w:w="0" w:type="dxa"/>
            <w:bottom w:w="0" w:type="dxa"/>
            <w:right w:w="0" w:type="dxa"/>
          </w:tblCellMar>
        </w:tblPrEx>
        <w:trPr>
          <w:trHeight w:val="483" w:hRule="atLeast"/>
          <w:jc w:val="center"/>
        </w:trPr>
        <w:tc>
          <w:tcPr>
            <w:tcW w:w="12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20000≤M＜60000</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7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5</w:t>
            </w:r>
          </w:p>
        </w:tc>
      </w:tr>
      <w:tr>
        <w:tblPrEx>
          <w:tblLayout w:type="fixed"/>
          <w:tblCellMar>
            <w:top w:w="0" w:type="dxa"/>
            <w:left w:w="0" w:type="dxa"/>
            <w:bottom w:w="0" w:type="dxa"/>
            <w:right w:w="0" w:type="dxa"/>
          </w:tblCellMar>
        </w:tblPrEx>
        <w:trPr>
          <w:trHeight w:val="468" w:hRule="atLeast"/>
          <w:jc w:val="center"/>
        </w:trPr>
        <w:tc>
          <w:tcPr>
            <w:tcW w:w="12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M≥60000</w:t>
            </w:r>
          </w:p>
        </w:tc>
        <w:tc>
          <w:tcPr>
            <w:tcW w:w="10080"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以60000m</w:t>
            </w:r>
            <w:r>
              <w:rPr>
                <w:rStyle w:val="6"/>
                <w:rFonts w:hint="eastAsia" w:ascii="仿宋" w:hAnsi="仿宋" w:eastAsia="仿宋" w:cs="仿宋"/>
                <w:color w:val="000000" w:themeColor="text1"/>
                <w:bdr w:val="none" w:color="auto" w:sz="0" w:space="0"/>
                <w:lang w:val="en-US" w:eastAsia="zh-CN" w:bidi="ar"/>
                <w14:textFill>
                  <w14:solidFill>
                    <w14:schemeClr w14:val="tx1"/>
                  </w14:solidFill>
                </w14:textFill>
              </w:rPr>
              <w:t>2</w:t>
            </w:r>
            <w:r>
              <w:rPr>
                <w:rStyle w:val="7"/>
                <w:rFonts w:hint="eastAsia" w:ascii="仿宋" w:hAnsi="仿宋" w:eastAsia="仿宋" w:cs="仿宋"/>
                <w:color w:val="000000" w:themeColor="text1"/>
                <w:bdr w:val="none" w:color="auto" w:sz="0" w:space="0"/>
                <w:lang w:val="en-US" w:eastAsia="zh-CN" w:bidi="ar"/>
                <w14:textFill>
                  <w14:solidFill>
                    <w14:schemeClr w14:val="tx1"/>
                  </w14:solidFill>
                </w14:textFill>
              </w:rPr>
              <w:t>为基数，建筑面积每增加50000m</w:t>
            </w:r>
            <w:r>
              <w:rPr>
                <w:rStyle w:val="6"/>
                <w:rFonts w:hint="eastAsia" w:ascii="仿宋" w:hAnsi="仿宋" w:eastAsia="仿宋" w:cs="仿宋"/>
                <w:color w:val="000000" w:themeColor="text1"/>
                <w:bdr w:val="none" w:color="auto" w:sz="0" w:space="0"/>
                <w:lang w:val="en-US" w:eastAsia="zh-CN" w:bidi="ar"/>
                <w14:textFill>
                  <w14:solidFill>
                    <w14:schemeClr w14:val="tx1"/>
                  </w14:solidFill>
                </w14:textFill>
              </w:rPr>
              <w:t>2</w:t>
            </w:r>
            <w:r>
              <w:rPr>
                <w:rStyle w:val="7"/>
                <w:rFonts w:hint="eastAsia" w:ascii="仿宋" w:hAnsi="仿宋" w:eastAsia="仿宋" w:cs="仿宋"/>
                <w:color w:val="000000" w:themeColor="text1"/>
                <w:bdr w:val="none" w:color="auto" w:sz="0" w:space="0"/>
                <w:lang w:val="en-US" w:eastAsia="zh-CN" w:bidi="ar"/>
                <w14:textFill>
                  <w14:solidFill>
                    <w14:schemeClr w14:val="tx1"/>
                  </w14:solidFill>
                </w14:textFill>
              </w:rPr>
              <w:t>，监理人员增加1人。</w:t>
            </w:r>
          </w:p>
        </w:tc>
      </w:tr>
      <w:tr>
        <w:tblPrEx>
          <w:tblLayout w:type="fixed"/>
          <w:tblCellMar>
            <w:top w:w="0" w:type="dxa"/>
            <w:left w:w="0" w:type="dxa"/>
            <w:bottom w:w="0" w:type="dxa"/>
            <w:right w:w="0" w:type="dxa"/>
          </w:tblCellMar>
        </w:tblPrEx>
        <w:trPr>
          <w:trHeight w:val="468" w:hRule="atLeast"/>
          <w:jc w:val="center"/>
        </w:trPr>
        <w:tc>
          <w:tcPr>
            <w:tcW w:w="122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住宅类工程</w:t>
            </w: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M＜30000</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7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4</w:t>
            </w:r>
          </w:p>
        </w:tc>
      </w:tr>
      <w:tr>
        <w:tblPrEx>
          <w:tblLayout w:type="fixed"/>
          <w:tblCellMar>
            <w:top w:w="0" w:type="dxa"/>
            <w:left w:w="0" w:type="dxa"/>
            <w:bottom w:w="0" w:type="dxa"/>
            <w:right w:w="0" w:type="dxa"/>
          </w:tblCellMar>
        </w:tblPrEx>
        <w:trPr>
          <w:trHeight w:val="453" w:hRule="atLeast"/>
          <w:jc w:val="center"/>
        </w:trPr>
        <w:tc>
          <w:tcPr>
            <w:tcW w:w="12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30000≤M＜60000</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7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5</w:t>
            </w:r>
          </w:p>
        </w:tc>
      </w:tr>
      <w:tr>
        <w:tblPrEx>
          <w:tblLayout w:type="fixed"/>
          <w:tblCellMar>
            <w:top w:w="0" w:type="dxa"/>
            <w:left w:w="0" w:type="dxa"/>
            <w:bottom w:w="0" w:type="dxa"/>
            <w:right w:w="0" w:type="dxa"/>
          </w:tblCellMar>
        </w:tblPrEx>
        <w:trPr>
          <w:trHeight w:val="498" w:hRule="atLeast"/>
          <w:jc w:val="center"/>
        </w:trPr>
        <w:tc>
          <w:tcPr>
            <w:tcW w:w="12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60000≤M＜</w:t>
            </w:r>
            <w:bookmarkStart w:id="0" w:name="_GoBack"/>
            <w:bookmarkEnd w:id="0"/>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120000</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7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3</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6</w:t>
            </w:r>
          </w:p>
        </w:tc>
      </w:tr>
      <w:tr>
        <w:tblPrEx>
          <w:tblLayout w:type="fixed"/>
          <w:tblCellMar>
            <w:top w:w="0" w:type="dxa"/>
            <w:left w:w="0" w:type="dxa"/>
            <w:bottom w:w="0" w:type="dxa"/>
            <w:right w:w="0" w:type="dxa"/>
          </w:tblCellMar>
        </w:tblPrEx>
        <w:trPr>
          <w:trHeight w:val="488" w:hRule="atLeast"/>
          <w:jc w:val="center"/>
        </w:trPr>
        <w:tc>
          <w:tcPr>
            <w:tcW w:w="12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23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M≥120000</w:t>
            </w:r>
          </w:p>
        </w:tc>
        <w:tc>
          <w:tcPr>
            <w:tcW w:w="10080"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bdr w:val="none" w:color="auto" w:sz="0" w:space="0"/>
                <w:lang w:val="en-US" w:eastAsia="zh-CN" w:bidi="ar"/>
                <w14:textFill>
                  <w14:solidFill>
                    <w14:schemeClr w14:val="tx1"/>
                  </w14:solidFill>
                </w14:textFill>
              </w:rPr>
              <w:t>以120000m</w:t>
            </w:r>
            <w:r>
              <w:rPr>
                <w:rStyle w:val="6"/>
                <w:rFonts w:hint="eastAsia" w:ascii="仿宋" w:hAnsi="仿宋" w:eastAsia="仿宋" w:cs="仿宋"/>
                <w:color w:val="000000" w:themeColor="text1"/>
                <w:bdr w:val="none" w:color="auto" w:sz="0" w:space="0"/>
                <w:lang w:val="en-US" w:eastAsia="zh-CN" w:bidi="ar"/>
                <w14:textFill>
                  <w14:solidFill>
                    <w14:schemeClr w14:val="tx1"/>
                  </w14:solidFill>
                </w14:textFill>
              </w:rPr>
              <w:t>2</w:t>
            </w:r>
            <w:r>
              <w:rPr>
                <w:rStyle w:val="7"/>
                <w:rFonts w:hint="eastAsia" w:ascii="仿宋" w:hAnsi="仿宋" w:eastAsia="仿宋" w:cs="仿宋"/>
                <w:color w:val="000000" w:themeColor="text1"/>
                <w:bdr w:val="none" w:color="auto" w:sz="0" w:space="0"/>
                <w:lang w:val="en-US" w:eastAsia="zh-CN" w:bidi="ar"/>
                <w14:textFill>
                  <w14:solidFill>
                    <w14:schemeClr w14:val="tx1"/>
                  </w14:solidFill>
                </w14:textFill>
              </w:rPr>
              <w:t>为基数，建筑面积每增加30000m</w:t>
            </w:r>
            <w:r>
              <w:rPr>
                <w:rStyle w:val="6"/>
                <w:rFonts w:hint="eastAsia" w:ascii="仿宋" w:hAnsi="仿宋" w:eastAsia="仿宋" w:cs="仿宋"/>
                <w:color w:val="000000" w:themeColor="text1"/>
                <w:bdr w:val="none" w:color="auto" w:sz="0" w:space="0"/>
                <w:lang w:val="en-US" w:eastAsia="zh-CN" w:bidi="ar"/>
                <w14:textFill>
                  <w14:solidFill>
                    <w14:schemeClr w14:val="tx1"/>
                  </w14:solidFill>
                </w14:textFill>
              </w:rPr>
              <w:t>2</w:t>
            </w:r>
            <w:r>
              <w:rPr>
                <w:rStyle w:val="7"/>
                <w:rFonts w:hint="eastAsia" w:ascii="仿宋" w:hAnsi="仿宋" w:eastAsia="仿宋" w:cs="仿宋"/>
                <w:color w:val="000000" w:themeColor="text1"/>
                <w:bdr w:val="none" w:color="auto" w:sz="0" w:space="0"/>
                <w:lang w:val="en-US" w:eastAsia="zh-CN" w:bidi="ar"/>
                <w14:textFill>
                  <w14:solidFill>
                    <w14:schemeClr w14:val="tx1"/>
                  </w14:solidFill>
                </w14:textFill>
              </w:rPr>
              <w:t>，监理人员增加1人。</w:t>
            </w:r>
          </w:p>
        </w:tc>
      </w:tr>
    </w:tbl>
    <w:p>
      <w:pPr>
        <w:ind w:left="239" w:leftChars="114" w:firstLine="0" w:firstLineChars="0"/>
        <w:rPr>
          <w:rFonts w:hint="eastAsia" w:ascii="仿宋" w:hAnsi="仿宋" w:eastAsia="仿宋" w:cs="仿宋"/>
          <w:sz w:val="24"/>
          <w:szCs w:val="24"/>
        </w:rPr>
      </w:pPr>
      <w:r>
        <w:rPr>
          <w:rFonts w:hint="eastAsia" w:ascii="仿宋" w:hAnsi="仿宋" w:eastAsia="仿宋" w:cs="仿宋"/>
          <w:sz w:val="24"/>
          <w:szCs w:val="24"/>
        </w:rPr>
        <w:t>注：重大基础设施配套的建筑工程、地下室超两层以上建筑、高度超100米的建筑、单跨跨度超30米的房建工程等特殊工程专业监理人员配置时应根据实际专业要求作适当补充调整。</w:t>
      </w:r>
    </w:p>
    <w:p>
      <w:p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附件</w:t>
      </w:r>
      <w:r>
        <w:rPr>
          <w:rFonts w:hint="eastAsia" w:ascii="仿宋" w:hAnsi="仿宋" w:eastAsia="仿宋" w:cs="仿宋"/>
          <w:b w:val="0"/>
          <w:bCs w:val="0"/>
          <w:sz w:val="28"/>
          <w:szCs w:val="28"/>
          <w:lang w:val="en-US" w:eastAsia="zh-CN"/>
        </w:rPr>
        <w:t>2</w:t>
      </w: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rPr>
        <w:t>市政基础设施工程现场监理人员配置最低标准</w:t>
      </w:r>
    </w:p>
    <w:tbl>
      <w:tblPr>
        <w:tblW w:w="13309" w:type="dxa"/>
        <w:jc w:val="center"/>
        <w:tblInd w:w="0" w:type="dxa"/>
        <w:shd w:val="clear"/>
        <w:tblLayout w:type="fixed"/>
        <w:tblCellMar>
          <w:top w:w="0" w:type="dxa"/>
          <w:left w:w="0" w:type="dxa"/>
          <w:bottom w:w="0" w:type="dxa"/>
          <w:right w:w="0" w:type="dxa"/>
        </w:tblCellMar>
      </w:tblPr>
      <w:tblGrid>
        <w:gridCol w:w="3439"/>
        <w:gridCol w:w="2580"/>
        <w:gridCol w:w="2520"/>
        <w:gridCol w:w="2355"/>
        <w:gridCol w:w="2415"/>
      </w:tblGrid>
      <w:tr>
        <w:tblPrEx>
          <w:tblLayout w:type="fixed"/>
          <w:tblCellMar>
            <w:top w:w="0" w:type="dxa"/>
            <w:left w:w="0" w:type="dxa"/>
            <w:bottom w:w="0" w:type="dxa"/>
            <w:right w:w="0" w:type="dxa"/>
          </w:tblCellMar>
        </w:tblPrEx>
        <w:trPr>
          <w:trHeight w:val="499" w:hRule="atLeast"/>
          <w:jc w:val="center"/>
        </w:trPr>
        <w:tc>
          <w:tcPr>
            <w:tcW w:w="343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bdr w:val="none" w:color="auto" w:sz="0" w:space="0"/>
                <w:lang w:val="en-US" w:eastAsia="zh-CN" w:bidi="ar"/>
              </w:rPr>
              <w:t>工程造价（单位：万元</w:t>
            </w:r>
            <w:r>
              <w:rPr>
                <w:rFonts w:hint="eastAsia" w:ascii="仿宋" w:hAnsi="仿宋" w:eastAsia="仿宋" w:cs="仿宋"/>
                <w:b/>
                <w:bCs/>
                <w:i w:val="0"/>
                <w:color w:val="000000"/>
                <w:kern w:val="0"/>
                <w:sz w:val="28"/>
                <w:szCs w:val="28"/>
                <w:u w:val="none"/>
                <w:bdr w:val="none" w:color="auto" w:sz="0" w:space="0"/>
                <w:lang w:val="en-US" w:eastAsia="zh-CN" w:bidi="ar"/>
              </w:rPr>
              <w:t>)</w:t>
            </w:r>
          </w:p>
        </w:tc>
        <w:tc>
          <w:tcPr>
            <w:tcW w:w="25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bdr w:val="none" w:color="auto" w:sz="0" w:space="0"/>
                <w:lang w:val="en-US" w:eastAsia="zh-CN" w:bidi="ar"/>
              </w:rPr>
              <w:t>总监理工程师</w:t>
            </w:r>
          </w:p>
        </w:tc>
        <w:tc>
          <w:tcPr>
            <w:tcW w:w="25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bdr w:val="none" w:color="auto" w:sz="0" w:space="0"/>
                <w:lang w:val="en-US" w:eastAsia="zh-CN" w:bidi="ar"/>
              </w:rPr>
              <w:t>专业监理工程师</w:t>
            </w:r>
          </w:p>
        </w:tc>
        <w:tc>
          <w:tcPr>
            <w:tcW w:w="23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bdr w:val="none" w:color="auto" w:sz="0" w:space="0"/>
                <w:lang w:val="en-US" w:eastAsia="zh-CN" w:bidi="ar"/>
              </w:rPr>
              <w:t>监理员</w:t>
            </w:r>
          </w:p>
        </w:tc>
        <w:tc>
          <w:tcPr>
            <w:tcW w:w="24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bdr w:val="none" w:color="auto" w:sz="0" w:space="0"/>
                <w:lang w:val="en-US" w:eastAsia="zh-CN" w:bidi="ar"/>
              </w:rPr>
              <w:t>合计</w:t>
            </w:r>
          </w:p>
        </w:tc>
      </w:tr>
      <w:tr>
        <w:tblPrEx>
          <w:tblLayout w:type="fixed"/>
          <w:tblCellMar>
            <w:top w:w="0" w:type="dxa"/>
            <w:left w:w="0" w:type="dxa"/>
            <w:bottom w:w="0" w:type="dxa"/>
            <w:right w:w="0" w:type="dxa"/>
          </w:tblCellMar>
        </w:tblPrEx>
        <w:trPr>
          <w:trHeight w:val="312" w:hRule="atLeast"/>
          <w:jc w:val="center"/>
        </w:trPr>
        <w:tc>
          <w:tcPr>
            <w:tcW w:w="343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499" w:hRule="atLeast"/>
          <w:jc w:val="center"/>
        </w:trPr>
        <w:tc>
          <w:tcPr>
            <w:tcW w:w="34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工程造价＜1000</w:t>
            </w:r>
          </w:p>
        </w:tc>
        <w:tc>
          <w:tcPr>
            <w:tcW w:w="25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1</w:t>
            </w:r>
          </w:p>
        </w:tc>
        <w:tc>
          <w:tcPr>
            <w:tcW w:w="25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1</w:t>
            </w:r>
          </w:p>
        </w:tc>
        <w:tc>
          <w:tcPr>
            <w:tcW w:w="23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3</w:t>
            </w:r>
          </w:p>
        </w:tc>
      </w:tr>
      <w:tr>
        <w:tblPrEx>
          <w:tblLayout w:type="fixed"/>
          <w:tblCellMar>
            <w:top w:w="0" w:type="dxa"/>
            <w:left w:w="0" w:type="dxa"/>
            <w:bottom w:w="0" w:type="dxa"/>
            <w:right w:w="0" w:type="dxa"/>
          </w:tblCellMar>
        </w:tblPrEx>
        <w:trPr>
          <w:trHeight w:val="499" w:hRule="atLeast"/>
          <w:jc w:val="center"/>
        </w:trPr>
        <w:tc>
          <w:tcPr>
            <w:tcW w:w="34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1000≤工程造价＜5000</w:t>
            </w:r>
          </w:p>
        </w:tc>
        <w:tc>
          <w:tcPr>
            <w:tcW w:w="25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1</w:t>
            </w:r>
          </w:p>
        </w:tc>
        <w:tc>
          <w:tcPr>
            <w:tcW w:w="25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1</w:t>
            </w:r>
          </w:p>
        </w:tc>
        <w:tc>
          <w:tcPr>
            <w:tcW w:w="23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2</w:t>
            </w:r>
          </w:p>
        </w:tc>
        <w:tc>
          <w:tcPr>
            <w:tcW w:w="2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4</w:t>
            </w:r>
          </w:p>
        </w:tc>
      </w:tr>
      <w:tr>
        <w:tblPrEx>
          <w:tblLayout w:type="fixed"/>
          <w:tblCellMar>
            <w:top w:w="0" w:type="dxa"/>
            <w:left w:w="0" w:type="dxa"/>
            <w:bottom w:w="0" w:type="dxa"/>
            <w:right w:w="0" w:type="dxa"/>
          </w:tblCellMar>
        </w:tblPrEx>
        <w:trPr>
          <w:trHeight w:val="499" w:hRule="atLeast"/>
          <w:jc w:val="center"/>
        </w:trPr>
        <w:tc>
          <w:tcPr>
            <w:tcW w:w="34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5000≤工程造价＜10000</w:t>
            </w:r>
          </w:p>
        </w:tc>
        <w:tc>
          <w:tcPr>
            <w:tcW w:w="25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1</w:t>
            </w:r>
          </w:p>
        </w:tc>
        <w:tc>
          <w:tcPr>
            <w:tcW w:w="25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2</w:t>
            </w:r>
          </w:p>
        </w:tc>
        <w:tc>
          <w:tcPr>
            <w:tcW w:w="23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2</w:t>
            </w:r>
          </w:p>
        </w:tc>
        <w:tc>
          <w:tcPr>
            <w:tcW w:w="24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5</w:t>
            </w:r>
          </w:p>
        </w:tc>
      </w:tr>
      <w:tr>
        <w:tblPrEx>
          <w:tblLayout w:type="fixed"/>
          <w:tblCellMar>
            <w:top w:w="0" w:type="dxa"/>
            <w:left w:w="0" w:type="dxa"/>
            <w:bottom w:w="0" w:type="dxa"/>
            <w:right w:w="0" w:type="dxa"/>
          </w:tblCellMar>
        </w:tblPrEx>
        <w:trPr>
          <w:trHeight w:val="499" w:hRule="atLeast"/>
          <w:jc w:val="center"/>
        </w:trPr>
        <w:tc>
          <w:tcPr>
            <w:tcW w:w="34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工程造价≥10000</w:t>
            </w:r>
          </w:p>
        </w:tc>
        <w:tc>
          <w:tcPr>
            <w:tcW w:w="987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8"/>
                <w:szCs w:val="28"/>
                <w:u w:val="none"/>
                <w14:textFill>
                  <w14:solidFill>
                    <w14:schemeClr w14:val="tx1"/>
                  </w14:solidFill>
                </w14:textFill>
              </w:rPr>
            </w:pP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以1亿</w:t>
            </w:r>
            <w:r>
              <w:rPr>
                <w:rFonts w:hint="eastAsia" w:ascii="仿宋" w:hAnsi="仿宋" w:eastAsia="仿宋" w:cs="仿宋"/>
                <w:i w:val="0"/>
                <w:color w:val="000000" w:themeColor="text1"/>
                <w:kern w:val="0"/>
                <w:sz w:val="28"/>
                <w:szCs w:val="28"/>
                <w:u w:val="none"/>
                <w:bdr w:val="none" w:color="auto" w:sz="0" w:space="0"/>
                <w:lang w:val="en-US" w:eastAsia="zh-CN" w:bidi="ar"/>
                <w14:textFill>
                  <w14:solidFill>
                    <w14:schemeClr w14:val="tx1"/>
                  </w14:solidFill>
                </w14:textFill>
              </w:rPr>
              <w:t>为基数，工程造价每增加1亿元，专业监理工程师和监理员各增加1人。</w:t>
            </w:r>
          </w:p>
        </w:tc>
      </w:tr>
    </w:tbl>
    <w:p>
      <w:pPr>
        <w:ind w:firstLine="280" w:firstLineChars="100"/>
        <w:jc w:val="both"/>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注：重大工程、特殊工程专业监理人员配置时应根据实际专业要求作适当补充调整。</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525BB"/>
    <w:rsid w:val="2A55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31"/>
    <w:basedOn w:val="3"/>
    <w:uiPriority w:val="0"/>
    <w:rPr>
      <w:rFonts w:hint="eastAsia" w:ascii="宋体" w:hAnsi="宋体" w:eastAsia="宋体" w:cs="宋体"/>
      <w:color w:val="000000"/>
      <w:sz w:val="28"/>
      <w:szCs w:val="28"/>
      <w:u w:val="none"/>
      <w:vertAlign w:val="superscript"/>
    </w:rPr>
  </w:style>
  <w:style w:type="character" w:customStyle="1" w:styleId="5">
    <w:name w:val="font21"/>
    <w:basedOn w:val="3"/>
    <w:uiPriority w:val="0"/>
    <w:rPr>
      <w:rFonts w:hint="eastAsia" w:ascii="宋体" w:hAnsi="宋体" w:eastAsia="宋体" w:cs="宋体"/>
      <w:color w:val="000000"/>
      <w:sz w:val="28"/>
      <w:szCs w:val="28"/>
      <w:u w:val="none"/>
    </w:rPr>
  </w:style>
  <w:style w:type="character" w:customStyle="1" w:styleId="6">
    <w:name w:val="font11"/>
    <w:basedOn w:val="3"/>
    <w:uiPriority w:val="0"/>
    <w:rPr>
      <w:rFonts w:hint="eastAsia" w:ascii="宋体" w:hAnsi="宋体" w:eastAsia="宋体" w:cs="宋体"/>
      <w:color w:val="000000"/>
      <w:sz w:val="24"/>
      <w:szCs w:val="24"/>
      <w:u w:val="none"/>
      <w:vertAlign w:val="superscript"/>
    </w:rPr>
  </w:style>
  <w:style w:type="character" w:customStyle="1" w:styleId="7">
    <w:name w:val="font0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2019-10-28T01:52:00Z</dcterms:created>
  <dc:creator>初见1414324528</dc:creator>
  <cp:lastModifiedBy>初见1414324528</cp:lastModifiedBy>
  <dcterms:modified xsi:type="dcterms:W3CDTF">2019-10-28T02:04:57Z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